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media/image1.wmf" ContentType="image/x-wmf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12" w:before="0" w:after="288"/>
        <w:jc w:val="center"/>
        <w:rPr>
          <w:color w:val="000000"/>
        </w:rPr>
      </w:pPr>
      <w:r>
        <w:rPr>
          <w:rFonts w:eastAsia="Calibri" w:cs="Times New Roman" w:ascii="Arial" w:hAnsi="Arial"/>
          <w:b/>
          <w:color w:val="000000"/>
          <w:sz w:val="20"/>
          <w:szCs w:val="22"/>
          <w:lang w:eastAsia="en-US"/>
        </w:rPr>
        <w:t>MODELO DE ATA DE REGISTRO DE PREÇOS</w:t>
      </w:r>
      <w:r>
        <w:rPr>
          <w:rFonts w:eastAsia="Calibri" w:cs="Arial" w:ascii="Arial" w:hAnsi="Arial"/>
          <w:b/>
          <w:bCs/>
          <w:color w:val="000000"/>
          <w:sz w:val="20"/>
          <w:szCs w:val="20"/>
          <w:lang w:eastAsia="en-US"/>
        </w:rPr>
        <w:t xml:space="preserve"> </w:t>
        <w:br/>
      </w:r>
      <w:r>
        <w:rPr>
          <w:rFonts w:eastAsia="Calibri" w:cs="Times New Roman" w:ascii="Arial" w:hAnsi="Arial"/>
          <w:b/>
          <w:color w:val="000000"/>
          <w:sz w:val="20"/>
          <w:szCs w:val="22"/>
          <w:lang w:eastAsia="en-US"/>
        </w:rPr>
        <w:t>Lei nº 14.133, de 1º de abril de 2021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drawing>
          <wp:anchor distT="0" distB="0" distL="114300" distR="114300" simplePos="0" relativeHeight="2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0" b="0"/>
            <wp:wrapTopAndBottom/>
            <wp:docPr id="1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MINISTÉRIO DA EDUCAÇÃO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INSTITUTO FEDERAL DO ESPÍRITO SANTO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CAMPUS VITÓRIA</w:t>
      </w:r>
    </w:p>
    <w:p>
      <w:pPr>
        <w:pStyle w:val="Normal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cs="Carlito" w:ascii="Arial" w:hAnsi="Arial"/>
          <w:i w:val="false"/>
          <w:iCs w:val="false"/>
          <w:color w:val="000000"/>
          <w:sz w:val="22"/>
          <w:szCs w:val="22"/>
        </w:rPr>
        <w:t>Avenida Vitória, 1729 – Jucutuquara – 29040-780 – Vitória – ES</w:t>
      </w:r>
    </w:p>
    <w:p>
      <w:pPr>
        <w:pStyle w:val="Normal"/>
        <w:widowControl w:val="false"/>
        <w:bidi w:val="0"/>
        <w:spacing w:lineRule="auto" w:line="240" w:before="0" w:after="0"/>
        <w:ind w:hanging="0" w:start="0"/>
        <w:jc w:val="center"/>
        <w:rPr>
          <w:color w:val="000000"/>
        </w:rPr>
      </w:pPr>
      <w:r>
        <w:rPr>
          <w:rFonts w:eastAsia="Times New Roman" w:cs="Carlito"/>
          <w:bCs/>
          <w:i w:val="false"/>
          <w:iCs w:val="false"/>
          <w:color w:val="000000"/>
          <w:sz w:val="22"/>
          <w:szCs w:val="22"/>
        </w:rPr>
        <w:t>27 3331-2209</w:t>
      </w:r>
    </w:p>
    <w:p>
      <w:pPr>
        <w:pStyle w:val="Normal"/>
        <w:spacing w:lineRule="auto" w:line="312" w:before="120" w:after="0"/>
        <w:jc w:val="center"/>
        <w:rPr>
          <w:color w:val="000000"/>
        </w:rPr>
      </w:pPr>
      <w:r>
        <w:rPr>
          <w:rFonts w:eastAsia="Calibri" w:cs="Times New Roman" w:ascii="Arial" w:hAnsi="Arial"/>
          <w:i w:val="false"/>
          <w:iCs w:val="false"/>
          <w:color w:val="000000"/>
          <w:sz w:val="20"/>
          <w:szCs w:val="22"/>
          <w:lang w:eastAsia="en-US"/>
        </w:rPr>
        <w:t xml:space="preserve">Processo </w:t>
      </w:r>
      <w:r>
        <w:rPr>
          <w:rFonts w:eastAsia="Calibri" w:cs="Arial" w:ascii="Arial" w:hAnsi="Arial"/>
          <w:i w:val="false"/>
          <w:iCs w:val="false"/>
          <w:color w:val="000000"/>
          <w:sz w:val="20"/>
          <w:szCs w:val="20"/>
          <w:lang w:eastAsia="en-US"/>
        </w:rPr>
        <w:t>Administrativo n</w:t>
      </w:r>
      <w:r>
        <w:rPr>
          <w:rFonts w:eastAsia="Calibri" w:cs="Arial" w:ascii="Arial" w:hAnsi="Arial"/>
          <w:bCs/>
          <w:i w:val="false"/>
          <w:iCs w:val="false"/>
          <w:color w:val="000000"/>
          <w:sz w:val="20"/>
          <w:szCs w:val="20"/>
          <w:lang w:eastAsia="en-US"/>
        </w:rPr>
        <w:t>° 23148.006047/2025-74</w:t>
      </w:r>
    </w:p>
    <w:p>
      <w:pPr>
        <w:pStyle w:val="Normal"/>
        <w:spacing w:lineRule="auto" w:line="312" w:before="0" w:after="288"/>
        <w:jc w:val="center"/>
        <w:rPr>
          <w:color w:val="000000"/>
        </w:rPr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eastAsia="Calibri" w:cs="Times New Roman" w:ascii="Arial" w:hAnsi="Arial"/>
          <w:b/>
          <w:i w:val="false"/>
          <w:iCs w:val="false"/>
          <w:color w:val="000000"/>
          <w:sz w:val="20"/>
          <w:szCs w:val="22"/>
          <w:lang w:eastAsia="en-US"/>
        </w:rPr>
        <w:t>nº</w:t>
      </w: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 xml:space="preserve"> </w:t>
      </w: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shd w:fill="FFFF00" w:val="clear"/>
          <w:lang w:eastAsia="en-US"/>
        </w:rPr>
        <w:t>XX</w:t>
      </w: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shd w:fill="auto" w:val="clear"/>
          <w:lang w:eastAsia="en-US"/>
        </w:rPr>
        <w:t>/2026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end="-28"/>
        <w:jc w:val="both"/>
        <w:rPr>
          <w:i w:val="false"/>
          <w:iCs w:val="false"/>
          <w:color w:val="000000"/>
        </w:rPr>
      </w:pP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O campus Vitória do Instituto Federal do Espírito Santo, CNPJ nº 10.838.653/0002-89, UASG 158416, com sede na Av. Vitória, 1729, Bairro Jucutuquara, Vitória/ES , CEP 29040-780,  neste ato representado(a) pelo </w:t>
      </w:r>
      <w:r>
        <w:rPr>
          <w:rFonts w:cs="Carlito" w:ascii="Arial" w:hAnsi="Arial"/>
          <w:i w:val="false"/>
          <w:iCs w:val="false"/>
          <w:color w:val="000000"/>
          <w:sz w:val="22"/>
          <w:szCs w:val="22"/>
          <w:shd w:fill="auto" w:val="clear"/>
        </w:rPr>
        <w:t>Sr. André Gustavo de Sousa Galdino, nomeado pela Portaria nº 3.679 de 19 de novembro de 2025, publicada no DOU 24 de novembro de 2025, portador da matrícula funcional nº 1910642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, considerando o julgamento da Dispensa, na forma eletrônica, para REGISTRO DE PREÇOS nº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FFFF00" w:val="clear"/>
        </w:rPr>
        <w:t>18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FFFF00" w:val="clear"/>
        </w:rPr>
        <w:t>6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FFFF00" w:val="clear"/>
        </w:rPr>
        <w:t>/2026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, publicada no PNCP de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FFFF00" w:val="clear"/>
        </w:rPr>
        <w:t>XX/XX/2026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  <w:shd w:fill="auto" w:val="clear"/>
        </w:rPr>
        <w:t xml:space="preserve">,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processo administrativo n.º </w:t>
      </w:r>
      <w:r>
        <w:rPr>
          <w:rFonts w:cs="Arial" w:ascii="Arial" w:hAnsi="Arial"/>
          <w:bCs/>
          <w:i w:val="false"/>
          <w:iCs w:val="false"/>
          <w:color w:val="000000"/>
          <w:sz w:val="20"/>
          <w:szCs w:val="20"/>
        </w:rPr>
        <w:t>23148.006047/2025-74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, RESOLVE registrar os preços da(s) empresa(s) indicada(s) e qualificada(s) nesta ATA, de acordo com a classificação por ela(s) alcançada(s) e na(s) quantidade(s) cotada(s), atendendo as condições previstas no Aviso da Contratação Direta,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DO OBJETO</w:t>
      </w:r>
    </w:p>
    <w:p>
      <w:pPr>
        <w:pStyle w:val="Nivel2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A presente Ata tem por objeto o registro de preços para a </w:t>
      </w:r>
      <w:r>
        <w:rPr>
          <w:rFonts w:eastAsia="Arial"/>
          <w:i w:val="false"/>
          <w:iCs w:val="false"/>
          <w:color w:val="000000"/>
        </w:rPr>
        <w:t>eventual Aquisição de estufas laboratoriais</w:t>
      </w:r>
      <w:r>
        <w:rPr>
          <w:i w:val="false"/>
          <w:iCs w:val="false"/>
          <w:color w:val="000000"/>
        </w:rPr>
        <w:t xml:space="preserve">, especificados no item 1.1 do Termo de Referência, anexo I do aviso da contratação direta n.º </w:t>
      </w:r>
      <w:r>
        <w:rPr>
          <w:bCs/>
          <w:i w:val="false"/>
          <w:iCs w:val="false"/>
          <w:color w:val="000000"/>
          <w:shd w:fill="FFFF00" w:val="clear"/>
        </w:rPr>
        <w:t>18</w:t>
      </w:r>
      <w:r>
        <w:rPr>
          <w:bCs/>
          <w:i w:val="false"/>
          <w:iCs w:val="false"/>
          <w:color w:val="000000"/>
          <w:shd w:fill="FFFF00" w:val="clear"/>
        </w:rPr>
        <w:t>6</w:t>
      </w:r>
      <w:r>
        <w:rPr>
          <w:bCs/>
          <w:i w:val="false"/>
          <w:iCs w:val="false"/>
          <w:color w:val="000000"/>
          <w:shd w:fill="FFFF00" w:val="clear"/>
        </w:rPr>
        <w:t>/2026</w:t>
      </w:r>
      <w:r>
        <w:rPr>
          <w:i w:val="false"/>
          <w:iCs w:val="false"/>
          <w:color w:val="000000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commentRangeStart w:id="0"/>
      <w:r>
        <w:rPr>
          <w:color w:val="000000"/>
        </w:rPr>
        <w:t>O preço registrado</w:t>
      </w:r>
      <w:r>
        <w:rPr>
          <w:color w:val="000000"/>
        </w:rPr>
      </w:r>
      <w:commentRangeEnd w:id="0"/>
      <w:r>
        <w:commentReference w:id="0"/>
      </w:r>
      <w:r>
        <w:rPr>
          <w:color w:val="000000"/>
        </w:rPr>
        <w:t xml:space="preserve">, as especificações do objeto, </w:t>
      </w:r>
      <w:commentRangeStart w:id="1"/>
      <w:r>
        <w:rPr>
          <w:color w:val="000000"/>
        </w:rPr>
        <w:t>as quantidades mínimas e máximas de cada item</w:t>
      </w:r>
      <w:r>
        <w:rPr>
          <w:color w:val="000000"/>
        </w:rPr>
      </w:r>
      <w:commentRangeEnd w:id="1"/>
      <w:r>
        <w:commentReference w:id="1"/>
      </w:r>
      <w:r>
        <w:rPr>
          <w:color w:val="000000"/>
        </w:rPr>
        <w:t xml:space="preserve">, fornecedor(es) e as demais condições ofertadas na(s) proposta(s) são as que seguem: </w:t>
      </w:r>
    </w:p>
    <w:tbl>
      <w:tblPr>
        <w:tblW w:w="9390" w:type="dxa"/>
        <w:jc w:val="start"/>
        <w:tblInd w:w="1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firstRow="0" w:noVBand="0" w:lastRow="0" w:firstColumn="0" w:lastColumn="0" w:noHBand="0" w:val="0000"/>
      </w:tblPr>
      <w:tblGrid>
        <w:gridCol w:w="493"/>
        <w:gridCol w:w="1336"/>
        <w:gridCol w:w="1981"/>
        <w:gridCol w:w="1530"/>
        <w:gridCol w:w="1386"/>
        <w:gridCol w:w="2664"/>
      </w:tblGrid>
      <w:tr>
        <w:trPr>
          <w:trHeight w:val="511" w:hRule="atLeast"/>
        </w:trPr>
        <w:tc>
          <w:tcPr>
            <w:tcW w:w="49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5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00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9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Marca </w:t>
            </w:r>
          </w:p>
        </w:tc>
        <w:tc>
          <w:tcPr>
            <w:tcW w:w="153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Modelo</w:t>
            </w:r>
          </w:p>
        </w:tc>
        <w:tc>
          <w:tcPr>
            <w:tcW w:w="138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26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Valor</w:t>
              <w:br/>
              <w:t>Unitário</w:t>
            </w:r>
          </w:p>
        </w:tc>
      </w:tr>
      <w:tr>
        <w:trPr>
          <w:trHeight w:val="174" w:hRule="atLeast"/>
        </w:trPr>
        <w:tc>
          <w:tcPr>
            <w:tcW w:w="493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9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8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6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cs="Arial" w:ascii="Arial" w:hAnsi="Arial"/>
          <w:color w:val="000000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commentRangeStart w:id="2"/>
      <w:r>
        <w:rPr>
          <w:color w:val="000000"/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color w:val="000000"/>
          <w:lang w:eastAsia="en-US"/>
        </w:rPr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commentRangeStart w:id="3"/>
      <w:commentRangeStart w:id="4"/>
      <w:r>
        <w:rPr>
          <w:color w:val="000000"/>
        </w:rPr>
        <w:t>ÓRGÃO(S) GERENCIADOR E PARTICIPANTE(S)</w:t>
      </w:r>
      <w:r>
        <w:rPr>
          <w:color w:val="000000"/>
        </w:rPr>
      </w:r>
      <w:commentRangeEnd w:id="4"/>
      <w:r>
        <w:commentReference w:id="4"/>
      </w:r>
      <w:commentRangeEnd w:id="3"/>
      <w:r>
        <w:commentReference w:id="3"/>
      </w:r>
      <w:r>
        <w:rPr>
          <w:color w:val="000000"/>
        </w:rPr>
      </w:r>
    </w:p>
    <w:p>
      <w:pPr>
        <w:pStyle w:val="Nivel2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O órgão gerenciador é o Instituto Federal de Educação, Ciência e Tecnologia do Espírito Santo - Campus Vitória, UASG 158416.</w:t>
      </w:r>
    </w:p>
    <w:p>
      <w:pPr>
        <w:pStyle w:val="Nvel2-Red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Além do gerenciador, não há órgãos e entidades públicas participantes do registro de preços.</w:t>
      </w:r>
    </w:p>
    <w:p>
      <w:pPr>
        <w:pStyle w:val="Nivel01"/>
        <w:numPr>
          <w:ilvl w:val="0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start="0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  <w:lang w:eastAsia="en-US"/>
        </w:rPr>
        <w:t xml:space="preserve"> </w:t>
      </w:r>
      <w:commentRangeStart w:id="5"/>
      <w:r>
        <w:rPr>
          <w:i w:val="false"/>
          <w:iCs w:val="false"/>
          <w:color w:val="000000"/>
          <w:lang w:eastAsia="en-US"/>
        </w:rPr>
        <w:t xml:space="preserve">Não será admitida a adesão à ata de registro de preços </w:t>
      </w:r>
      <w:r>
        <w:rPr>
          <w:i w:val="false"/>
          <w:iCs w:val="false"/>
          <w:color w:val="000000"/>
          <w:lang w:eastAsia="en-US"/>
        </w:rPr>
      </w:r>
      <w:commentRangeEnd w:id="5"/>
      <w:r>
        <w:commentReference w:id="5"/>
      </w:r>
      <w:r>
        <w:rPr>
          <w:i w:val="false"/>
          <w:iCs w:val="false"/>
          <w:color w:val="000000"/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SubTitNN"/>
        <w:rPr>
          <w:color w:val="000000"/>
        </w:rPr>
      </w:pPr>
      <w:r>
        <w:rPr>
          <w:color w:val="000000"/>
        </w:rPr>
        <w:t>Vedação a acréscimo de quantitativos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A validade da Ata de Registro de Preços será de 1 (um) ano, contado a </w:t>
      </w:r>
      <w:commentRangeStart w:id="6"/>
      <w:r>
        <w:rPr>
          <w:color w:val="000000"/>
        </w:rPr>
        <w:t>partir</w:t>
      </w:r>
      <w:r>
        <w:rPr>
          <w:color w:val="000000"/>
        </w:rPr>
      </w:r>
      <w:commentRangeEnd w:id="6"/>
      <w:r>
        <w:commentReference w:id="6"/>
      </w:r>
      <w:r>
        <w:rPr>
          <w:color w:val="000000"/>
        </w:rPr>
        <w:t xml:space="preserve"> do primeiro dia útil subsequente à data de divulgação no PNCP,</w:t>
      </w:r>
      <w:r>
        <w:rPr>
          <w:i w:val="false"/>
          <w:iCs w:val="false"/>
          <w:color w:val="000000"/>
          <w:shd w:fill="auto" w:val="clear"/>
        </w:rPr>
        <w:t xml:space="preserve"> podendo ser prorrogada por igual período, mediante a anuência do fornecedor, desde que comprovado o preço vantajoso.</w:t>
      </w:r>
    </w:p>
    <w:p>
      <w:pPr>
        <w:pStyle w:val="Nvel3-R"/>
        <w:numPr>
          <w:ilvl w:val="2"/>
          <w:numId w:val="1"/>
        </w:numPr>
        <w:ind w:hanging="0" w:start="284"/>
        <w:rPr>
          <w:i w:val="false"/>
          <w:iCs w:val="false"/>
          <w:color w:val="000000"/>
          <w:highlight w:val="none"/>
          <w:shd w:fill="auto" w:val="clear"/>
        </w:rPr>
      </w:pPr>
      <w:commentRangeStart w:id="7"/>
      <w:r>
        <w:rPr>
          <w:i w:val="false"/>
          <w:iCs w:val="false"/>
          <w:color w:val="000000"/>
          <w:shd w:fill="auto" w:val="clear"/>
        </w:rPr>
        <w:t>Em caso de prorrogação da ata, poderá ser renovado o quantitativo originalmente registrado.</w:t>
      </w:r>
      <w:commentRangeEnd w:id="7"/>
      <w:r>
        <w:commentReference w:id="7"/>
      </w:r>
      <w:r>
        <w:rPr>
          <w:i w:val="false"/>
          <w:iCs w:val="false"/>
          <w:color w:val="000000"/>
          <w:shd w:fill="auto" w:val="clear"/>
        </w:rPr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i w:val="false"/>
          <w:iCs w:val="false"/>
          <w:color w:val="000000"/>
          <w:shd w:fill="auto" w:val="clear"/>
        </w:rPr>
        <w:t>O contrato decorrente da ata de registr</w:t>
      </w:r>
      <w:r>
        <w:rPr>
          <w:color w:val="000000"/>
        </w:rPr>
        <w:t>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 contratação com os fornecedores registrados na ata será formalizada pelo órgão ou pela en</w:t>
      </w:r>
      <w:r>
        <w:rPr>
          <w:rFonts w:eastAsia="Arial"/>
          <w:color w:val="000000"/>
        </w:rPr>
        <w:t>ti</w:t>
      </w:r>
      <w:r>
        <w:rPr>
          <w:color w:val="000000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Serão registrados na ata os preços e os quantita</w:t>
      </w:r>
      <w:r>
        <w:rPr>
          <w:rFonts w:eastAsia="Arial"/>
          <w:color w:val="000000"/>
        </w:rPr>
        <w:t>ti</w:t>
      </w:r>
      <w:r>
        <w:rPr>
          <w:color w:val="000000"/>
        </w:rPr>
        <w:t>vos do adjudicatário, devendo ser observada a possibilidade de o licitante oferecer ou não proposta em quantitativo inferior ao máximo previsto no</w:t>
      </w:r>
      <w:r>
        <w:rPr>
          <w:i/>
          <w:iCs/>
          <w:color w:val="000000"/>
        </w:rPr>
        <w:t xml:space="preserve"> </w:t>
      </w:r>
      <w:r>
        <w:rPr>
          <w:i w:val="false"/>
          <w:iCs w:val="false"/>
          <w:color w:val="000000"/>
        </w:rPr>
        <w:t xml:space="preserve">aviso de contratação direta </w:t>
      </w:r>
      <w:r>
        <w:rPr>
          <w:color w:val="000000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registro a que se refere o item 5.4.2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tem por obje</w:t>
      </w:r>
      <w:r>
        <w:rPr>
          <w:rFonts w:eastAsia="Arial"/>
          <w:color w:val="000000"/>
        </w:rPr>
        <w:t>ti</w:t>
      </w:r>
      <w:r>
        <w:rPr>
          <w:color w:val="000000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A habilitação dos licitantes que comporão o cadastro de reserva a que se refere 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cadastro_reserva \r \r \h </w:instrText>
      </w:r>
      <w:r>
        <w:rPr>
          <w:color w:val="000000"/>
        </w:rPr>
        <w:fldChar w:fldCharType="separate"/>
      </w:r>
      <w:r>
        <w:rPr>
          <w:color w:val="000000"/>
        </w:rPr>
        <w:t>5.4.2.2</w:t>
      </w:r>
      <w:r>
        <w:rPr>
          <w:color w:val="000000"/>
        </w:rPr>
        <w:fldChar w:fldCharType="end"/>
      </w:r>
      <w:r>
        <w:rPr>
          <w:color w:val="000000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Quando o licitante vencedor não assinar a ata de registro de preços, no prazo e nas condições estabelecidos no</w:t>
      </w:r>
      <w:r>
        <w:rPr>
          <w:i w:val="false"/>
          <w:iCs w:val="false"/>
          <w:color w:val="000000"/>
        </w:rPr>
        <w:t xml:space="preserve"> aviso de contratação direta; </w:t>
      </w:r>
      <w:r>
        <w:rPr>
          <w:color w:val="000000"/>
        </w:rPr>
        <w:t>e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Quando houver o cancelamento do registro do licitante ou do registro de preços nas hipóteses previstas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 \r \r \h </w:instrText>
      </w:r>
      <w:r>
        <w:rPr>
          <w:color w:val="000000"/>
        </w:rPr>
        <w:fldChar w:fldCharType="separate"/>
      </w:r>
      <w:r>
        <w:rPr>
          <w:color w:val="000000"/>
        </w:rPr>
        <w:t>9</w:t>
      </w:r>
      <w:r>
        <w:rPr>
          <w:color w:val="000000"/>
        </w:rPr>
        <w:fldChar w:fldCharType="end"/>
      </w:r>
      <w:r>
        <w:rPr>
          <w:color w:val="000000"/>
        </w:rPr>
        <w:t>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Quando o convocado não assinar a ata de registro de preços no prazo e nas condições estabelecidos no edital ou no aviso de contratação, observando o item 5.4.1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nenhum dos licitantes que trata o item 5.4.2.1, aceitar a contratação nos termos do item anterior, a Administração, observados o valor es</w:t>
      </w:r>
      <w:r>
        <w:rPr>
          <w:rFonts w:eastAsia="Arial"/>
          <w:color w:val="000000"/>
        </w:rPr>
        <w:t>ti</w:t>
      </w:r>
      <w:r>
        <w:rPr>
          <w:color w:val="000000"/>
        </w:rPr>
        <w:t xml:space="preserve">mado e sua eventual atualização nos termos do </w:t>
      </w:r>
      <w:r>
        <w:rPr>
          <w:i w:val="false"/>
          <w:iCs w:val="false"/>
          <w:color w:val="000000"/>
        </w:rPr>
        <w:t xml:space="preserve">aviso de contratação direta, </w:t>
      </w:r>
      <w:r>
        <w:rPr>
          <w:color w:val="000000"/>
        </w:rPr>
        <w:t>poderá: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Os preços registrados poderão ser alterados ou atualizados em decorrência de eventual redução dos preços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E</w:t>
      </w:r>
      <w:commentRangeStart w:id="8"/>
      <w:r>
        <w:rPr>
          <w:color w:val="000000"/>
        </w:rPr>
        <w:t>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r>
        <w:rPr>
          <w:color w:val="000000"/>
        </w:rPr>
      </w:r>
      <w:commentRangeEnd w:id="8"/>
      <w:r>
        <w:commentReference w:id="8"/>
      </w:r>
      <w:r>
        <w:rPr>
          <w:color w:val="000000"/>
        </w:rPr>
        <w:t>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Em caso de criação, alteração ou ex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o preço registrado tornar-se superior ao preço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 no mercado por mo</w:t>
      </w:r>
      <w:r>
        <w:rPr>
          <w:rFonts w:eastAsia="Calibri"/>
          <w:color w:val="000000"/>
        </w:rPr>
        <w:t>ti</w:t>
      </w:r>
      <w:r>
        <w:rPr>
          <w:color w:val="000000"/>
        </w:rPr>
        <w:t>vo superveniente, 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Caso não aceite reduzir seu preço aos valores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9"/>
      <w:r>
        <w:rPr>
          <w:color w:val="000000"/>
        </w:rPr>
        <w:t>s licitantes ou fornecedores que tiveram seu registro cancelado.</w:t>
      </w:r>
      <w:r>
        <w:rPr>
          <w:color w:val="000000"/>
        </w:rPr>
      </w:r>
      <w:commentRangeEnd w:id="9"/>
      <w:r>
        <w:commentReference w:id="9"/>
      </w:r>
      <w:r>
        <w:rPr>
          <w:color w:val="000000"/>
        </w:rPr>
        <w:t xml:space="preserve"> 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Se não obtiver êxito nas negociações, o órgão ou en</w:t>
      </w:r>
      <w:r>
        <w:rPr>
          <w:rFonts w:eastAsia="Calibri"/>
          <w:color w:val="000000"/>
        </w:rPr>
        <w:t>tid</w:t>
      </w:r>
      <w:r>
        <w:rPr>
          <w:color w:val="000000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rFonts w:cs="Calibri"/>
          <w:color w:val="000000"/>
        </w:rPr>
        <w:t>Na hipótese de</w:t>
      </w:r>
      <w:r>
        <w:rPr>
          <w:color w:val="000000"/>
        </w:rPr>
        <w:t xml:space="preserve"> redução do preço registrado, o gerenciador comunicará aos órgãos e às en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dades que </w:t>
      </w:r>
      <w:r>
        <w:rPr>
          <w:rFonts w:eastAsia="Calibri"/>
          <w:color w:val="000000"/>
        </w:rPr>
        <w:t>ti</w:t>
      </w:r>
      <w:r>
        <w:rPr>
          <w:color w:val="000000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de não comprovação da existência de fato superveniente que inviabilize o preço registrado, o pedido será indeferido pelo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dade gerenciadora e o fornecedor deverá cumprir as obrigações estabelecidas na ata, sob pena de cancelamento do seu registro, nos termos do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cancelamento_do_fornecedor \r \r \h </w:instrText>
      </w:r>
      <w:r>
        <w:rPr>
          <w:color w:val="000000"/>
        </w:rPr>
        <w:fldChar w:fldCharType="separate"/>
      </w:r>
      <w:r>
        <w:rPr>
          <w:color w:val="000000"/>
        </w:rPr>
        <w:t>9.1</w:t>
      </w:r>
      <w:r>
        <w:rPr>
          <w:color w:val="000000"/>
        </w:rPr>
        <w:fldChar w:fldCharType="end"/>
      </w:r>
      <w:r>
        <w:rPr>
          <w:color w:val="000000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Se não obtiver êxito nas negociações, o órgão ou entidade gerenciadora procederá ao cancelamento da ata de registro de preços, nos termos do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cancelamento_da_ata \r \r \h </w:instrText>
      </w:r>
      <w:r>
        <w:rPr>
          <w:color w:val="000000"/>
        </w:rPr>
        <w:fldChar w:fldCharType="separate"/>
      </w:r>
      <w:r>
        <w:rPr>
          <w:color w:val="000000"/>
        </w:rPr>
        <w:t>9.4</w:t>
      </w:r>
      <w:r>
        <w:rPr>
          <w:color w:val="000000"/>
        </w:rPr>
        <w:fldChar w:fldCharType="end"/>
      </w:r>
      <w:r>
        <w:rPr>
          <w:color w:val="000000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Na hipótese de comprovação da majoração do preço de mercado que inviabilize o preço registrado, conforme previsto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hipotese_preco_mercado_maior \r \r \h </w:instrText>
      </w:r>
      <w:r>
        <w:rPr>
          <w:color w:val="000000"/>
        </w:rPr>
        <w:fldChar w:fldCharType="separate"/>
      </w:r>
      <w:r>
        <w:rPr>
          <w:color w:val="000000"/>
        </w:rPr>
        <w:t>7.2</w:t>
      </w:r>
      <w:r>
        <w:rPr>
          <w:color w:val="000000"/>
        </w:rPr>
        <w:fldChar w:fldCharType="end"/>
      </w:r>
      <w:r>
        <w:rPr>
          <w:color w:val="000000"/>
        </w:rPr>
        <w:t xml:space="preserve"> e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prova_preco_mercado_maior \r \r \h </w:instrText>
      </w:r>
      <w:r>
        <w:rPr>
          <w:color w:val="000000"/>
        </w:rPr>
        <w:fldChar w:fldCharType="separate"/>
      </w:r>
      <w:r>
        <w:rPr>
          <w:color w:val="000000"/>
        </w:rPr>
        <w:t>7.2.1</w:t>
      </w:r>
      <w:r>
        <w:rPr>
          <w:color w:val="000000"/>
        </w:rPr>
        <w:fldChar w:fldCharType="end"/>
      </w:r>
      <w:r>
        <w:rPr>
          <w:color w:val="000000"/>
        </w:rPr>
        <w:t>, 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O órgão ou en</w:t>
      </w:r>
      <w:r>
        <w:rPr>
          <w:rFonts w:eastAsia="Calibri"/>
          <w:color w:val="000000"/>
        </w:rPr>
        <w:t>ti</w:t>
      </w:r>
      <w:r>
        <w:rPr>
          <w:color w:val="000000"/>
        </w:rPr>
        <w:t>dade gerenciadora comunicará aos órgãos e às en</w:t>
      </w:r>
      <w:r>
        <w:rPr>
          <w:rFonts w:eastAsia="Calibri"/>
          <w:color w:val="000000"/>
        </w:rPr>
        <w:t>ti</w:t>
      </w:r>
      <w:r>
        <w:rPr>
          <w:color w:val="000000"/>
        </w:rPr>
        <w:t xml:space="preserve">dades que </w:t>
      </w:r>
      <w:r>
        <w:rPr>
          <w:rFonts w:eastAsia="Calibri"/>
          <w:color w:val="000000"/>
        </w:rPr>
        <w:t>ti</w:t>
      </w:r>
      <w:r>
        <w:rPr>
          <w:color w:val="000000"/>
        </w:rPr>
        <w:t>verem firmado contratos decorrentes da ata de registro de preços sobre a efe</w:t>
      </w:r>
      <w:r>
        <w:rPr>
          <w:rFonts w:eastAsia="Calibri"/>
          <w:color w:val="000000"/>
        </w:rPr>
        <w:t>ti</w:t>
      </w:r>
      <w:r>
        <w:rPr>
          <w:color w:val="000000"/>
        </w:rPr>
        <w:t>va alteração do preço registrado, para que avaliem a necessidade de alteração contratual, observado o disposto no art. 124 da Lei nº 14.133, de 2021.</w:t>
      </w:r>
    </w:p>
    <w:p>
      <w:pPr>
        <w:pStyle w:val="Nvel3"/>
        <w:numPr>
          <w:ilvl w:val="2"/>
          <w:numId w:val="1"/>
        </w:numPr>
        <w:ind w:hanging="0" w:start="284"/>
        <w:rPr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Os preços inicialmente contratados são fixos e irreajustáveis no prazo de um ano contado da data base vinculada à data do orçamento estimado.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Após o interregno de um ano, e independentemente de pedido do contratado, os preços iniciais serão reajustados, mediante a aplicação, pelo contratante, do índice IPCA (Índice Nacional de Preços ao Consumidor Amplo), exclusivamente para as obrigações iniciadas e concluídas após a ocorrência da anualidade.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commentRangeStart w:id="10"/>
      <w:r>
        <w:rPr>
          <w:color w:val="000000"/>
        </w:rPr>
        <w:t>REMANEJAMENTO DAS QUANTIDADES REGISTRADAS NA ATA DE REGISTRO DE PREÇOS</w:t>
      </w:r>
      <w:commentRangeEnd w:id="10"/>
      <w:r>
        <w:commentReference w:id="10"/>
      </w:r>
      <w:r>
        <w:rPr>
          <w:color w:val="000000"/>
        </w:rPr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 </w:t>
      </w:r>
      <w:r>
        <w:rPr>
          <w:b w:val="false"/>
          <w:i w:val="false"/>
          <w:iCs w:val="false"/>
          <w:caps w:val="false"/>
          <w:smallCaps w:val="false"/>
          <w:color w:val="000000"/>
          <w:spacing w:val="0"/>
        </w:rPr>
        <w:t>Conforme subitens 3.1 e 4.1 para esta contratação haverá apenas o órgão gerenciador, não haverá participantes e não será admitida a adesão a esta Ata de Registro de Preços. Portanto, não há previsão para remanejamento de quantidades do item desta contratação.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CANCELAMENTO DO REGISTRO DO LICITANTE VENCEDOR E DOS PREÇOS REGISTRADOS</w:t>
      </w:r>
      <w:bookmarkStart w:id="4" w:name="cancelamento"/>
      <w:bookmarkEnd w:id="4"/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registro do fornecedor será cancelado pelo gerenciador, quando o fornecedor:</w:t>
      </w:r>
      <w:bookmarkStart w:id="5" w:name="cancelamento_do_fornecedor"/>
      <w:bookmarkEnd w:id="5"/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Não re</w:t>
      </w:r>
      <w:r>
        <w:rPr>
          <w:rFonts w:eastAsia="Arial"/>
          <w:color w:val="000000"/>
        </w:rPr>
        <w:t>ti</w:t>
      </w:r>
      <w:r>
        <w:rPr>
          <w:color w:val="000000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start="567"/>
        <w:rPr>
          <w:color w:val="000000"/>
        </w:rPr>
      </w:pPr>
      <w:r>
        <w:rPr>
          <w:color w:val="000000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 xml:space="preserve">O cancelamento de registros nas hipóteses previstas no item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cancelamento_do_fornecedor \r \r \h </w:instrText>
      </w:r>
      <w:r>
        <w:rPr>
          <w:color w:val="000000"/>
        </w:rPr>
        <w:fldChar w:fldCharType="separate"/>
      </w:r>
      <w:r>
        <w:rPr>
          <w:color w:val="000000"/>
        </w:rPr>
        <w:t>9.1</w:t>
      </w:r>
      <w:r>
        <w:rPr>
          <w:color w:val="000000"/>
        </w:rPr>
        <w:fldChar w:fldCharType="end"/>
      </w:r>
      <w:r>
        <w:rPr>
          <w:color w:val="000000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6" w:name="cancelamento_da_ata"/>
      <w:bookmarkEnd w:id="6"/>
      <w:r>
        <w:rPr>
          <w:color w:val="000000"/>
        </w:rPr>
        <w:t xml:space="preserve"> 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Se não houver êxito nas negociações, nas hipóteses em que o preço de mercado tornar-se superior ou inferior ao preço registrado, nos termos dos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DAS PENALIDADES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 xml:space="preserve">O descumprimento da Ata de Registro de Preços ensejará aplicação das penalidades estabelecidas </w:t>
      </w:r>
      <w:r>
        <w:rPr>
          <w:iCs/>
          <w:color w:val="000000"/>
        </w:rPr>
        <w:t>no</w:t>
      </w:r>
      <w:r>
        <w:rPr>
          <w:i/>
          <w:color w:val="000000"/>
        </w:rPr>
        <w:t xml:space="preserve"> </w:t>
      </w:r>
      <w:r>
        <w:rPr>
          <w:i w:val="false"/>
          <w:iCs w:val="false"/>
          <w:color w:val="000000"/>
        </w:rPr>
        <w:t>aviso de contratação direta.</w:t>
      </w:r>
    </w:p>
    <w:p>
      <w:pPr>
        <w:pStyle w:val="Nvel3"/>
        <w:numPr>
          <w:ilvl w:val="2"/>
          <w:numId w:val="1"/>
        </w:numPr>
        <w:ind w:hanging="0" w:start="284"/>
        <w:rPr>
          <w:color w:val="000000"/>
        </w:rPr>
      </w:pPr>
      <w:r>
        <w:rPr>
          <w:color w:val="000000"/>
        </w:rPr>
        <w:t xml:space="preserve">As sanções também se aplicam aos integrantes do cadastro de reserva no registro de preços que, convocados, não honrarem o compromisso assumido </w:t>
      </w:r>
      <w:commentRangeStart w:id="11"/>
      <w:r>
        <w:rPr>
          <w:color w:val="000000"/>
        </w:rPr>
        <w:t>injustificadamente</w:t>
      </w:r>
      <w:r>
        <w:rPr>
          <w:color w:val="000000"/>
        </w:rPr>
      </w:r>
      <w:commentRangeEnd w:id="11"/>
      <w:r>
        <w:commentReference w:id="11"/>
      </w:r>
      <w:r>
        <w:rPr>
          <w:color w:val="000000"/>
        </w:rPr>
        <w:t xml:space="preserve"> após terem assinado a ata. 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start="0"/>
        <w:rPr>
          <w:color w:val="000000"/>
        </w:rPr>
      </w:pPr>
      <w:r>
        <w:rPr>
          <w:color w:val="000000"/>
        </w:rPr>
        <w:t>CONDIÇÕES GERAIS</w:t>
      </w:r>
    </w:p>
    <w:p>
      <w:pPr>
        <w:pStyle w:val="Nivel2"/>
        <w:numPr>
          <w:ilvl w:val="1"/>
          <w:numId w:val="1"/>
        </w:numPr>
        <w:ind w:hanging="0" w:start="0"/>
        <w:rPr>
          <w:color w:val="000000"/>
        </w:rPr>
      </w:pPr>
      <w:r>
        <w:rPr>
          <w:color w:val="000000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>
        <w:rPr>
          <w:i/>
          <w:color w:val="000000"/>
        </w:rPr>
        <w:t xml:space="preserve"> </w:t>
      </w:r>
      <w:r>
        <w:rPr>
          <w:i w:val="false"/>
          <w:iCs w:val="false"/>
          <w:color w:val="000000"/>
        </w:rPr>
        <w:t>aviso de contratação direta.</w:t>
      </w:r>
    </w:p>
    <w:p>
      <w:pPr>
        <w:pStyle w:val="Nvel2-Red"/>
        <w:numPr>
          <w:ilvl w:val="0"/>
          <w:numId w:val="0"/>
        </w:numPr>
        <w:ind w:hanging="0" w:start="0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Para firmeza e validade do pactuado, a presente Ata foi lavrada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em 2 (duas) vias de igual teor, que, depois de lida e achada em ordem, vai assinada pelas partes e encaminhada cópia aos demais órgãos participantes. 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12" w:before="0" w:after="57"/>
        <w:ind w:end="0"/>
        <w:jc w:val="center"/>
        <w:rPr>
          <w:color w:val="000000"/>
          <w:highlight w:val="none"/>
          <w:shd w:fill="FFFF00" w:val="clear"/>
        </w:rPr>
      </w:pPr>
      <w:r>
        <w:rPr>
          <w:rFonts w:eastAsia="Times New Roman" w:cs="Calibri" w:ascii="Calibri" w:hAnsi="Calibri"/>
          <w:color w:val="000000"/>
          <w:sz w:val="22"/>
          <w:szCs w:val="22"/>
          <w:shd w:fill="FFFF00" w:val="clear"/>
          <w:lang w:val="pt-BR" w:eastAsia="pt-BR" w:bidi="ar-SA"/>
        </w:rPr>
        <w:t>Vitória/ES</w:t>
      </w:r>
      <w:r>
        <w:rPr>
          <w:rFonts w:eastAsia="Arial" w:cs="Calibri" w:ascii="Calibri" w:hAnsi="Calibri"/>
          <w:color w:val="000000"/>
          <w:sz w:val="22"/>
          <w:szCs w:val="22"/>
          <w:shd w:fill="FFFF00" w:val="clear"/>
        </w:rPr>
        <w:t xml:space="preserve">, </w:t>
      </w:r>
      <w:r>
        <w:rPr>
          <w:rFonts w:eastAsia="Times New Roman" w:cs="Calibri" w:ascii="Calibri" w:hAnsi="Calibri"/>
          <w:color w:val="000000"/>
          <w:kern w:val="2"/>
          <w:sz w:val="22"/>
          <w:szCs w:val="22"/>
          <w:shd w:fill="FFFF00" w:val="clear"/>
          <w:lang w:val="pt-BR" w:eastAsia="pt-BR" w:bidi="ar-SA"/>
        </w:rPr>
        <w:t>xx</w:t>
      </w:r>
      <w:r>
        <w:rPr>
          <w:rFonts w:eastAsia="Times New Roman" w:cs="Calibri" w:ascii="Calibri" w:hAnsi="Calibri"/>
          <w:color w:val="000000"/>
          <w:sz w:val="22"/>
          <w:szCs w:val="22"/>
          <w:shd w:fill="FFFF00" w:val="clear"/>
          <w:lang w:val="pt-BR" w:eastAsia="pt-BR" w:bidi="ar-SA"/>
        </w:rPr>
        <w:t xml:space="preserve"> </w:t>
      </w:r>
      <w:r>
        <w:rPr>
          <w:rFonts w:eastAsia="Arial" w:cs="Calibri" w:ascii="Calibri" w:hAnsi="Calibri"/>
          <w:color w:val="000000"/>
          <w:sz w:val="22"/>
          <w:szCs w:val="22"/>
          <w:shd w:fill="FFFF00" w:val="clear"/>
        </w:rPr>
        <w:t>de xxx</w:t>
      </w:r>
      <w:r>
        <w:rPr>
          <w:rFonts w:eastAsia="Times New Roman" w:cs="Calibri" w:ascii="Calibri" w:hAnsi="Calibri"/>
          <w:color w:val="000000"/>
          <w:kern w:val="2"/>
          <w:sz w:val="22"/>
          <w:szCs w:val="22"/>
          <w:shd w:fill="FFFF00" w:val="clear"/>
          <w:lang w:val="pt-BR" w:eastAsia="pt-BR" w:bidi="ar-SA"/>
        </w:rPr>
        <w:t xml:space="preserve"> </w:t>
      </w:r>
      <w:r>
        <w:rPr>
          <w:rFonts w:eastAsia="Arial" w:cs="Calibri" w:ascii="Calibri" w:hAnsi="Calibri"/>
          <w:color w:val="000000"/>
          <w:sz w:val="22"/>
          <w:szCs w:val="22"/>
          <w:shd w:fill="FFFF00" w:val="clear"/>
        </w:rPr>
        <w:t>de 2026.</w:t>
      </w:r>
    </w:p>
    <w:p>
      <w:pPr>
        <w:pStyle w:val="Normal"/>
        <w:widowControl w:val="false"/>
        <w:bidi w:val="0"/>
        <w:spacing w:lineRule="auto" w:line="240" w:before="0" w:after="0"/>
        <w:ind w:end="-15"/>
        <w:jc w:val="center"/>
        <w:rPr>
          <w:rFonts w:ascii="Calibri" w:hAnsi="Calibri" w:cs="Calibri"/>
          <w:color w:val="000000"/>
          <w:sz w:val="22"/>
          <w:szCs w:val="22"/>
          <w:highlight w:val="none"/>
          <w:shd w:fill="FFFF00" w:val="clear"/>
        </w:rPr>
      </w:pPr>
      <w:r>
        <w:rPr>
          <w:rFonts w:cs="Calibri" w:ascii="Calibri" w:hAnsi="Calibri"/>
          <w:color w:val="000000"/>
          <w:sz w:val="22"/>
          <w:szCs w:val="22"/>
          <w:shd w:fill="FFFF00" w:val="clear"/>
        </w:rPr>
      </w:r>
    </w:p>
    <w:p>
      <w:pPr>
        <w:pStyle w:val="Normal"/>
        <w:widowControl w:val="false"/>
        <w:bidi w:val="0"/>
        <w:spacing w:lineRule="auto" w:line="240" w:before="0" w:after="0"/>
        <w:ind w:end="-15"/>
        <w:jc w:val="center"/>
        <w:rPr>
          <w:rFonts w:ascii="Calibri" w:hAnsi="Calibri" w:cs="Calibri"/>
          <w:color w:val="000000"/>
          <w:sz w:val="22"/>
          <w:szCs w:val="22"/>
          <w:highlight w:val="none"/>
          <w:shd w:fill="FFFF00" w:val="clear"/>
        </w:rPr>
      </w:pPr>
      <w:r>
        <w:rPr>
          <w:rFonts w:cs="Calibri" w:ascii="Calibri" w:hAnsi="Calibri"/>
          <w:color w:val="000000"/>
          <w:sz w:val="22"/>
          <w:szCs w:val="22"/>
          <w:shd w:fill="FFFF00" w:val="clear"/>
        </w:rPr>
      </w:r>
    </w:p>
    <w:p>
      <w:pPr>
        <w:pStyle w:val="Normal"/>
        <w:widowControl w:val="false"/>
        <w:bidi w:val="0"/>
        <w:spacing w:lineRule="auto" w:line="240" w:before="0" w:after="0"/>
        <w:ind w:end="-15"/>
        <w:jc w:val="center"/>
        <w:rPr>
          <w:rFonts w:ascii="Calibri" w:hAnsi="Calibri" w:cs="Calibri"/>
          <w:color w:val="000000"/>
          <w:sz w:val="22"/>
          <w:szCs w:val="22"/>
          <w:highlight w:val="none"/>
          <w:shd w:fill="FFFF00" w:val="clear"/>
        </w:rPr>
      </w:pPr>
      <w:r>
        <w:rPr>
          <w:rFonts w:cs="Calibri" w:ascii="Calibri" w:hAnsi="Calibri"/>
          <w:color w:val="000000"/>
          <w:sz w:val="22"/>
          <w:szCs w:val="22"/>
          <w:shd w:fill="FFFF00" w:val="clear"/>
        </w:rPr>
      </w:r>
    </w:p>
    <w:tbl>
      <w:tblPr>
        <w:tblW w:w="9012" w:type="dxa"/>
        <w:jc w:val="start"/>
        <w:tblInd w:w="39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477"/>
        <w:gridCol w:w="229"/>
        <w:gridCol w:w="4306"/>
      </w:tblGrid>
      <w:tr>
        <w:trPr>
          <w:trHeight w:val="1077" w:hRule="atLeast"/>
        </w:trPr>
        <w:tc>
          <w:tcPr>
            <w:tcW w:w="4477" w:type="dxa"/>
            <w:tcBorders/>
          </w:tcPr>
          <w:p>
            <w:pPr>
              <w:pStyle w:val="Textopadro"/>
              <w:widowControl w:val="false"/>
              <w:pBdr>
                <w:bottom w:val="single" w:sz="8" w:space="1" w:color="000001"/>
              </w:pBdr>
              <w:snapToGrid w:val="false"/>
              <w:spacing w:lineRule="auto" w:line="240" w:before="0" w:after="0"/>
              <w:ind w:end="0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none"/>
                <w:shd w:fill="FFFF00" w:val="clear"/>
                <w:lang w:val="pt-B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  <w:t>ANDRÉ GUSTAVO DE SOUSA GALDINO</w:t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  <w:t>DIRETOR-GERAL</w:t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FFFF00" w:val="clear"/>
                <w:lang w:val="pt-BR"/>
              </w:rPr>
              <w:t>IFES – CAMPUS VITÓRIA</w:t>
            </w:r>
          </w:p>
        </w:tc>
        <w:tc>
          <w:tcPr>
            <w:tcW w:w="229" w:type="dxa"/>
            <w:tcBorders/>
          </w:tcPr>
          <w:p>
            <w:pPr>
              <w:pStyle w:val="Textopadro"/>
              <w:widowControl w:val="false"/>
              <w:snapToGrid w:val="false"/>
              <w:spacing w:lineRule="auto" w:line="240" w:before="0" w:after="0"/>
              <w:ind w:end="0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none"/>
                <w:u w:val="none"/>
                <w:shd w:fill="FFFF00" w:val="clear"/>
                <w:lang w:val="pt-B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u w:val="none"/>
                <w:shd w:fill="FFFF00" w:val="clear"/>
                <w:lang w:val="pt-BR"/>
              </w:rPr>
            </w:r>
          </w:p>
        </w:tc>
        <w:tc>
          <w:tcPr>
            <w:tcW w:w="4306" w:type="dxa"/>
            <w:tcBorders/>
          </w:tcPr>
          <w:p>
            <w:pPr>
              <w:pStyle w:val="Textopadro"/>
              <w:widowControl w:val="false"/>
              <w:pBdr>
                <w:bottom w:val="single" w:sz="8" w:space="1" w:color="000001"/>
              </w:pBdr>
              <w:snapToGrid w:val="false"/>
              <w:spacing w:lineRule="auto" w:line="240" w:before="0" w:after="0"/>
              <w:ind w:end="0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none"/>
                <w:u w:val="none"/>
                <w:shd w:fill="FFFF00" w:val="clear"/>
                <w:lang w:val="pt-B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u w:val="none"/>
                <w:shd w:fill="FFFF00" w:val="clear"/>
                <w:lang w:val="pt-BR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2605" w:leader="dot"/>
              </w:tabs>
              <w:suppressAutoHyphens w:val="true"/>
              <w:bidi w:val="0"/>
              <w:spacing w:lineRule="auto" w:line="240" w:before="0" w:after="0"/>
              <w:ind w:start="113" w:end="17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00" w:val="clear"/>
              </w:rPr>
              <w:t>XXXX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605" w:leader="dot"/>
              </w:tabs>
              <w:suppressAutoHyphens w:val="true"/>
              <w:bidi w:val="0"/>
              <w:spacing w:lineRule="auto" w:line="240" w:before="0" w:after="0"/>
              <w:ind w:start="113" w:end="17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cs="Calibri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00" w:val="clear"/>
              </w:rPr>
              <w:t>XXXX</w:t>
            </w:r>
          </w:p>
          <w:p>
            <w:pPr>
              <w:pStyle w:val="Textopadro"/>
              <w:widowControl w:val="false"/>
              <w:spacing w:lineRule="auto" w:line="240" w:before="0" w:after="0"/>
              <w:ind w:end="0"/>
              <w:jc w:val="center"/>
              <w:rPr>
                <w:color w:val="000000"/>
                <w:highlight w:val="none"/>
                <w:shd w:fill="FFFF00" w:val="clear"/>
              </w:rPr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00" w:val="clear"/>
                <w:lang w:val="pt-BR" w:eastAsia="zh-CN" w:bidi="ar-SA"/>
              </w:rPr>
              <w:t>CNPJ: XXXX</w:t>
            </w:r>
          </w:p>
        </w:tc>
      </w:tr>
    </w:tbl>
    <w:p>
      <w:pPr>
        <w:pStyle w:val="Normal"/>
        <w:widowControl w:val="false"/>
        <w:spacing w:lineRule="auto" w:line="312" w:before="0" w:after="57"/>
        <w:ind w:end="0"/>
        <w:jc w:val="both"/>
        <w:rPr>
          <w:rFonts w:ascii="Calibri" w:hAnsi="Calibri" w:eastAsia="Arial" w:cs="Calibri"/>
          <w:color w:val="000000"/>
          <w:sz w:val="20"/>
          <w:highlight w:val="none"/>
          <w:shd w:fill="FFFF00" w:val="clear"/>
        </w:rPr>
      </w:pPr>
      <w:r>
        <w:rPr>
          <w:rFonts w:eastAsia="Arial" w:cs="Calibri" w:ascii="Calibri" w:hAnsi="Calibri"/>
          <w:color w:val="000000"/>
          <w:sz w:val="20"/>
          <w:shd w:fill="FFFF00" w:val="clear"/>
        </w:rPr>
      </w:r>
      <w:r>
        <w:br w:type="page"/>
      </w:r>
    </w:p>
    <w:p>
      <w:pPr>
        <w:pStyle w:val="Normal"/>
        <w:widowControl w:val="false"/>
        <w:spacing w:lineRule="auto" w:line="360" w:before="0" w:after="0"/>
        <w:ind w:end="-30"/>
        <w:jc w:val="center"/>
        <w:rPr>
          <w:color w:val="000000"/>
        </w:rPr>
      </w:pPr>
      <w:commentRangeStart w:id="12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12"/>
      <w:r>
        <w:commentReference w:id="12"/>
      </w: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start"/>
        <w:tblInd w:w="1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firstRow="0" w:noVBand="0" w:lastRow="0" w:firstColumn="0" w:lastColumn="0" w:noHBand="0" w:val="0000"/>
      </w:tblPr>
      <w:tblGrid>
        <w:gridCol w:w="494"/>
        <w:gridCol w:w="1332"/>
        <w:gridCol w:w="1257"/>
        <w:gridCol w:w="1537"/>
        <w:gridCol w:w="1125"/>
        <w:gridCol w:w="1117"/>
        <w:gridCol w:w="845"/>
        <w:gridCol w:w="837"/>
        <w:gridCol w:w="848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TR</w:t>
            </w:r>
          </w:p>
        </w:tc>
        <w:tc>
          <w:tcPr>
            <w:tcW w:w="889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00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3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2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exigida no edital)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exigido no edital)</w:t>
            </w:r>
          </w:p>
        </w:tc>
        <w:tc>
          <w:tcPr>
            <w:tcW w:w="112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1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2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end="-30"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start"/>
        <w:tblInd w:w="10" w:type="dxa"/>
        <w:tblLayout w:type="fixed"/>
        <w:tblCellMar>
          <w:top w:w="0" w:type="dxa"/>
          <w:start w:w="10" w:type="dxa"/>
          <w:bottom w:w="0" w:type="dxa"/>
          <w:end w:w="10" w:type="dxa"/>
        </w:tblCellMar>
        <w:tblLook w:firstRow="0" w:noVBand="0" w:lastRow="0" w:firstColumn="0" w:lastColumn="0" w:noHBand="0" w:val="0000"/>
      </w:tblPr>
      <w:tblGrid>
        <w:gridCol w:w="494"/>
        <w:gridCol w:w="1332"/>
        <w:gridCol w:w="1257"/>
        <w:gridCol w:w="1537"/>
        <w:gridCol w:w="1125"/>
        <w:gridCol w:w="1117"/>
        <w:gridCol w:w="845"/>
        <w:gridCol w:w="837"/>
        <w:gridCol w:w="848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TR</w:t>
            </w:r>
          </w:p>
        </w:tc>
        <w:tc>
          <w:tcPr>
            <w:tcW w:w="889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00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3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2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exigida no edital)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(se exigido no edital)</w:t>
            </w:r>
          </w:p>
        </w:tc>
        <w:tc>
          <w:tcPr>
            <w:tcW w:w="112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1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ind w:end="-28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2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end="-3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end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color w:themeColor="text1" w:val="000000"/>
          <w:lang w:val="en-US" w:eastAsia="en-US" w:bidi="en-US"/>
        </w:rPr>
        <w:t>Nota Explicativa:</w:t>
      </w:r>
      <w:r>
        <w:rPr>
          <w:rFonts w:eastAsia="Segoe UI" w:ascii="Liberation Serif" w:hAnsi="Liberation Serif"/>
          <w:color w:themeColor="text1" w:val="000000"/>
          <w:lang w:val="en-US" w:eastAsia="en-US" w:bidi="en-US"/>
        </w:rPr>
        <w:t xml:space="preserve"> </w:t>
      </w:r>
      <w:r>
        <w:rPr>
          <w:rFonts w:eastAsia="Segoe UI" w:ascii="Liberation Serif" w:hAnsi="Liberation Serif"/>
          <w:i/>
          <w:iCs/>
          <w:color w:themeColor="text1"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eastAsia="Segoe UI" w:ascii="Liberation Serif" w:hAnsi="Liberation Serif"/>
          <w:color w:themeColor="text1" w:val="000000"/>
          <w:lang w:val="en-US" w:eastAsia="en-US" w:bidi="en-US"/>
        </w:rPr>
        <w:t>. (§ 4º, art. 18 do Decreto Nº11.462, de 2023.)</w:t>
      </w:r>
    </w:p>
  </w:comment>
  <w:comment w:id="1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</w:t>
      </w:r>
      <w:r>
        <w:rPr>
          <w:rFonts w:eastAsia="Segoe UI" w:ascii="Liberation Serif" w:hAnsi="Liberation Serif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eastAsia="Segoe UI" w:ascii="Liberation Serif" w:hAnsi="Liberation Serif"/>
          <w:b/>
          <w:bCs/>
          <w:lang w:val="en-US" w:eastAsia="en-US" w:bidi="en-US"/>
        </w:rPr>
        <w:t xml:space="preserve"> sem indicação do total a ser adquirido</w:t>
      </w:r>
      <w:r>
        <w:rPr>
          <w:rFonts w:eastAsia="Segoe UI" w:ascii="Liberation Serif" w:hAnsi="Liberation Serif"/>
          <w:lang w:val="en-US" w:eastAsia="en-US" w:bidi="en-US"/>
        </w:rPr>
        <w:t>, apenas nas seguintes situações: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 - quando for a primeira licitação para o objeto e o órgão ou entidade não tiver registro de demandas anteriores;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 - no caso de alimento perecível;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III - no caso em que o serviço estiver integrado ao fornecimento de bens.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O artigo 4º do Decreto 11.462, de 31/3/2023, possui a mesma redação da lei.</w:t>
      </w:r>
    </w:p>
  </w:comment>
  <w:comment w:id="2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color w:themeColor="text1" w:val="000000"/>
          <w:lang w:val="en-US" w:eastAsia="en-US" w:bidi="en-US"/>
        </w:rPr>
        <w:t>Nota Explicativa</w:t>
      </w:r>
      <w:r>
        <w:rPr>
          <w:rFonts w:eastAsia="Segoe UI" w:ascii="Liberation Serif" w:hAnsi="Liberation Serif"/>
          <w:color w:themeColor="text1"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</w:t>
      </w:r>
      <w:r>
        <w:rPr>
          <w:rFonts w:eastAsia="Segoe UI" w:ascii="Liberation Serif" w:hAnsi="Liberation Serif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 - no caso de alimento perecível; ou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III - no caso em que o serviço estiver integrado ao fornecimento de bens.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[...]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</w:t>
      </w:r>
      <w:r>
        <w:rPr>
          <w:rFonts w:eastAsia="Segoe UI" w:ascii="Liberation Serif" w:hAnsi="Liberation Serif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7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bCs/>
          <w:i/>
          <w:iCs/>
          <w:lang w:val="en-US" w:eastAsia="en-US" w:bidi="en-US"/>
        </w:rPr>
        <w:t xml:space="preserve">Nota explicativa: </w:t>
      </w:r>
      <w:r>
        <w:rPr>
          <w:rFonts w:eastAsia="Segoe UI" w:ascii="Liberation Serif" w:hAnsi="Liberation Serif"/>
          <w:lang w:val="en-US" w:eastAsia="en-US" w:bidi="en-US"/>
        </w:rP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8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9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0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A possibilidade de remanejamento está prevista no art. 30 do Decreto nº 11.462/2023</w:t>
      </w:r>
    </w:p>
  </w:comment>
  <w:comment w:id="11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 xml:space="preserve">Nota Explicativa: </w:t>
      </w:r>
      <w:r>
        <w:rPr>
          <w:rFonts w:eastAsia="Segoe UI" w:ascii="Liberation Serif" w:hAnsi="Liberation Serif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2" w:author="Autor" w:initials="A">
    <w:p>
      <w:pPr>
        <w:overflowPunct w:val="true"/>
        <w:rPr/>
      </w:pPr>
      <w:r>
        <w:annotationRef/>
      </w:r>
      <w:r>
        <w:rPr>
          <w:rFonts w:eastAsia="Segoe UI" w:ascii="Liberation Serif" w:hAnsi="Liberation Serif"/>
          <w:b/>
          <w:lang w:val="en-US" w:eastAsia="en-US" w:bidi="en-US"/>
        </w:rPr>
        <w:t>Nota Explicativa:</w:t>
      </w:r>
      <w:r>
        <w:rPr>
          <w:rFonts w:eastAsia="Segoe UI" w:ascii="Liberation Serif" w:hAnsi="Liberation Serif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pPr>
        <w:overflowPunct w:val="true"/>
        <w:rPr/>
      </w:pPr>
      <w:r>
        <w:rPr>
          <w:rFonts w:eastAsia="Segoe UI" w:ascii="Liberation Serif" w:hAnsi="Liberation Serif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Ecofont_Spranq_eco_Sans">
    <w:charset w:val="00" w:characterSet="windows-1252"/>
    <w:family w:val="swiss"/>
    <w:pitch w:val="variable"/>
  </w:font>
  <w:font w:name="Cambria">
    <w:charset w:val="00" w:characterSet="windows-1252"/>
    <w:family w:val="swiss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PAGE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NUMPAGES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NOV/2025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PAGE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rFonts w:cs="Arial" w:ascii="Arial" w:hAnsi="Arial"/>
        <w:color w:val="595959"/>
        <w:sz w:val="18"/>
        <w:szCs w:val="18"/>
      </w:rPr>
      <w:instrText xml:space="preserve"> NUMPAGES </w:instrText>
    </w:r>
    <w:r>
      <w:rPr>
        <w:rFonts w:cs="Arial" w:ascii="Arial" w:hAnsi="Arial"/>
        <w:color w:val="595959"/>
        <w:sz w:val="18"/>
        <w:szCs w:val="18"/>
      </w:rPr>
      <w:fldChar w:fldCharType="separate"/>
    </w:r>
    <w:r>
      <w:rPr>
        <w:rFonts w:cs="Arial" w:ascii="Arial" w:hAnsi="Arial"/>
        <w:color w:val="595959"/>
        <w:sz w:val="18"/>
        <w:szCs w:val="18"/>
      </w:rPr>
      <w:t>7</w:t>
    </w:r>
    <w:r>
      <w:rPr>
        <w:rFonts w:cs="Arial" w:ascii="Arial" w:hAnsi="Arial"/>
        <w:color w:val="595959"/>
        <w:sz w:val="18"/>
        <w:szCs w:val="18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NOV/2025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497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start="720"/>
      <w:contextualSpacing/>
    </w:pPr>
    <w:rPr/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start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start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CommentText">
    <w:name w:val="annotation text"/>
    <w:basedOn w:val="Normal"/>
    <w:link w:val="TextodecomentrioChar"/>
    <w:unhideWhenUsed/>
    <w:rsid w:val="006a7a1a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star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star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star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star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Textopadro">
    <w:name w:val="Texto padrão"/>
    <w:basedOn w:val="Normal"/>
    <w:qFormat/>
    <w:pPr/>
    <w:rPr>
      <w:rFonts w:ascii="Times New Roman" w:hAnsi="Times New Roman" w:cs="Times New Roman"/>
      <w:sz w:val="24"/>
      <w:lang w:val="en-US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comments" Target="comment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LibreOffice/25.8.5.2$Windows_X86_64 LibreOffice_project/9c8b85f387cc00a89945a79c9e6239f32e450ac2</Application>
  <AppVersion>15.0000</AppVersion>
  <Pages>7</Pages>
  <Words>2833</Words>
  <Characters>15597</Characters>
  <CharactersWithSpaces>18227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2025-11-18T13:38:00Z</dcterms:created>
  <dc:creator/>
  <dc:description/>
  <dc:language>pt-BR</dc:language>
  <cp:lastModifiedBy/>
  <dcterms:modified xsi:type="dcterms:W3CDTF">2026-05-05T13:30:32Z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